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w:t>
      </w:r>
    </w:p>
    <w:p>
      <w:r>
        <w:t>Bundesgericht (BGE), 2006-11-29, DE</w:t>
      </w:r>
    </w:p>
    <w:p>
      <w:r>
        <w:rPr>
          <w:b/>
        </w:rPr>
        <w:t xml:space="preserve">Quelle: </w:t>
      </w:r>
      <w:r>
        <w:t>https://mcp.opencaselaw.ch/entscheid/bge_133 V 57</w:t>
      </w:r>
    </w:p>
    <w:p>
      <w:r>
        <w:t>FR: ATF 133 V 57</w:t>
      </w:r>
    </w:p>
    <w:p>
      <w:r>
        <w:t>IT: DTF 133 V 57</w:t>
      </w:r>
    </w:p>
    <w:p>
      <w:pPr>
        <w:pStyle w:val="Heading2"/>
      </w:pPr>
      <w:r>
        <w:t>Regeste</w:t>
      </w:r>
    </w:p>
    <w:p>
      <w:r>
        <w:t>Regeste Art. 10 und 16 UVG; Art. 17 ATSG: Rückwirkende Anpassung von Heilbehandlung und Taggeld der Unfallversicherung. Heilbehandlung und Taggeld der Unfallversicherung können unter der Herrschaft des ATSG weiterhin rückwirkend angepasst werden. Art. 17 Abs. 2 ATSG ändert hieran schon deswegen nichts, weil die genannten Leistungen der Unfallversicherung keine Dauerleistungen im Sinne dieser Bestimmung darstellen (E. 6.6 und 6.7). Frage offen gelassen, ob Art. 17 Abs. 2 ATSG überhaupt - wie Art. 17 Abs. 1 ATSG ausdrücklich für die Invalidenrente - eine rückwirkende Anpassung untersagt (E. 6.8). Frage offen gelassen, ob die Heilbehandlung als Sachleistung überhaupt unter die gesetzessystematisch bei den Geldleistungen eingeordnete Regelung des Art. 17 Abs. 2 ATSG fallen könnte (E. 6.8).</w:t>
      </w:r>
    </w:p>
    <w:p>
      <w:pPr>
        <w:pStyle w:val="Heading2"/>
      </w:pPr>
      <w:r>
        <w:t>Erwägungen</w:t>
      </w:r>
    </w:p>
    <w:p>
      <w:r>
        <w:rPr>
          <w:b/>
        </w:rPr>
        <w:t>E. 4</w:t>
      </w:r>
    </w:p>
    <w:p>
      <w:r>
        <w:t>Streitig und zu prüfen bleibt der Zeitpunkt, ab welchem die "Zürich" die Heilbehandlung und das Taggeld einstellen durfte. Das BGE 133 V 57 S. 60 kantonale Gericht hat hiezu erwogen, Heilbehandlung und Taggeld stellten Dauerleistungen im Sinne von Art. 17 Abs. 2 des am 1. Januar 2003 in Kraft getretenen Bundesgesetzes über den Allgemeinen Teil des Sozialversicherungsrechts vom 6. Oktober 2000 (ATSG; SR 830.1) dar. Die Anpassung solcher Leistungen dürfe, sofern diese hier formell rechtskräftig zugesprochen worden seien, nur mit Wirkung für die Zukunft erfolgen. Diese gesetzliche Regel habe die "Zürich" missachtet, indem sie am 2. Dezember 2003 die rückwirkende Einstellung der gesetzlichen Leistungen zum 31. Juli resp. 7. August 2003 verfügt habe. Mit Blick darauf, dass dem Versicherten erstmals im Oktober 2003 die Gelegenheit gegeben worden sei, sich zur beabsichtigten Leistungseinstellung zu äussern, könne letztere frühestens mit Wirkung ab 1. November 2003 in Betracht fallen. Bis dahin habe die "Zürich" Heilbehandlung und Taggeld zu leisten. In der Verwaltungsgerichtsbeschwerde der "Zürich" wird vorgebracht, Heilbehandlung und Taggeld der sozialen Unfallversicherung seien entgegen der vorinstanzlichen Auffassung nicht als Dauerleistungen nach Art. 17 Abs. 2 ATSG zu betrachten und könnten daher zulässigerweise bereits mit dem Wegfall der unfallbedingten Arbeitsunfähigkeit resp. Behandlungsbedürftigkeit, mithin zum 31. Juli 2003 - in Bezug auf die Heilbehandlung entgegenkommenderweise zum 7. August 2003 - angepasst werden. Demgegenüber schliesst sich der Versicherte der Auffassung des kantonalen Gerichts an.</w:t>
      </w:r>
    </w:p>
    <w:p>
      <w:r>
        <w:rPr>
          <w:b/>
        </w:rPr>
        <w:t>E. 5</w:t>
      </w:r>
    </w:p>
    <w:p>
      <w:r>
        <w:t>Art. 17 ATSG bestimmt unter dem Titel "Revision der Invalidenrente und anderer Dauerleistungen" Folgendes: Ändert sich der Invaliditätsgrad einer Rentenbezügerin oder eines Rentenbezügers erheblich, so wird die Rente von Amtes wegen oder auf Gesuch hin für die Zukunft entsprechend erhöht, herabgesetzt oder aufgehoben (Abs. 1). Auch jede andere formell rechtskräftig zugesprochene Dauerleistung wird von Amtes wegen oder auf Gesuch hin erhöht, herabgesetzt oder aufgehoben, wenn sich der ihr zu Grunde liegende Sachverhalt nachträglich erheblich verändert hat (Abs. 2). Laut Art. 2 ATSG sind die Bestimmungen dieses Erlasses auf die bundesgesetzlich geregelten Sozialversicherungen anwendbar, wenn und soweit die einzelnen Sozialversicherungsgesetze es vorsehen. Gemäss Art. 1 Abs. 1 UVG (in der seit 1. Januar 2003 geltenden BGE 133 V 57 S. 61 Fassung) sind die Bestimmungen des ATSG auf die Unfallversicherung - mit in Art. 1 Abs. 2 UVG (in der seit 1. Januar 2003 geltenden Fassung) genannten, hier nicht interessierenden Ausnahmen - anwendbar, soweit das UVG nicht ausdrücklich eine Abweichung vom ATSG vorsieht.</w:t>
      </w:r>
    </w:p>
    <w:p>
      <w:r>
        <w:rPr>
          <w:b/>
        </w:rPr>
        <w:t>E. 6</w:t>
      </w:r>
    </w:p>
    <w:p>
      <w:r>
        <w:t>Ob der gesetzliche Begriff der "anderen Dauerleistung" nach Art. 17 Abs. 2 ATSG auch die hier streitigen Leistungen Heilbehandlung und Taggeld der Unfallversicherung umfasst, bedarf, wie das kantonale Gericht erkannt hat, der Auslegung (vgl. auch: KIESER, ATSG-Kommentar, N. 25 zu Art. 17).</w:t>
      </w:r>
    </w:p>
    <w:p>
      <w:r>
        <w:rPr>
          <w:b/>
        </w:rPr>
        <w:t>E. 6.1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132 V 101 E. 5.2.1; BGE 131 II 31 E. 7.1; BGE 131 V 93 E. 4.1, BGE 131 V 128 E. 5.1; BGE 130 V 232 E. 2.2; BGE 129 II 118 E. 3.1; BGE 125 II 196 E. 3a, je mit Hinweisen).</w:t>
      </w:r>
    </w:p>
    <w:p>
      <w:r>
        <w:rPr>
          <w:b/>
        </w:rPr>
        <w:t>E. 6.2</w:t>
      </w:r>
    </w:p>
    <w:p>
      <w:r>
        <w:t>Eine eigentliche Auslegung des Begriffes Dauerleistung hat das kantonale Gericht nicht vorgenommen. Bei der Qualifikation des Taggeldes als Dauerleistung nach Art. 17 Abs. 2 ATSG stützt es sich auf die Auffassung von KIESER. Dieser beruft sich seinerseits auf die Gesetzesmaterialien (ATSG-Kommentar, N. 25 zu Art. 17). In Bezug auf die Heilbehandlung wird im angefochtenen Entscheid zunächst ebenfalls auf eine Aussage von KIESER (ATSG- Kommentar, N. 24 zu Art. 17) verwiesen, wonach unter anderem auch medizinische Massnahmen eine Dauerleistung im Sinne von Art. 17 Abs. 2 ATSG darstellen können. Die Vorinstanz hat hiezu weiter erwogen, die zahlreichen Atteste des Hausarztes liessen auf periodische Konsultationen und damit darauf schliessen, dass dem Versicherten Heilbehandlung im Sinne einer Dauerleistung zuteil geworden sei.</w:t>
      </w:r>
    </w:p>
    <w:p>
      <w:r>
        <w:rPr>
          <w:b/>
        </w:rPr>
        <w:t>E. 6.3</w:t>
      </w:r>
    </w:p>
    <w:p>
      <w:r>
        <w:t>Dem Wortlaut des Gesetzes lässt sich nicht entnehmen, was unter den Dauerleistungen gemäss Art. 17 Abs. 2 ATSG zu BGE 133 V 57 S. 62 verstehen ist. Es ergibt sich einzig aus der Verwendung des Begriffes "andere" Dauerleistung (italienisch: " altra prestazione durevole"; französisch: " autre prestation durable" in der Überschrift und, unter den gegebenen Umständen mit demselben Bedeutungsgehalt, " de même, toute prestation durable" im Text des Gesetzes), dass es nicht um die in Art. 17 Abs. 1 ATSG gesondert geregelten Invalidenrenten geht. Welche Leistungen unter den anderen Dauerleistungen nach Art. 17 Abs. 2 ATSG zu verstehen sind, sagt das Gesetz hingegen nicht. Es bietet sich daher in der Tat an, zum Verständnis des Normgehalts auf die Gesetzesmaterialien zurückzugreifen.</w:t>
      </w:r>
    </w:p>
    <w:p>
      <w:r>
        <w:rPr>
          <w:b/>
        </w:rPr>
        <w:t>E. 6.4</w:t>
      </w:r>
    </w:p>
    <w:p>
      <w:r>
        <w:t>KIESER leitet aus den Materialien ab, dass der Gesetzgeber mit Art. 17 ATSG nebst der Rente auch etwa Taggelder und Hilflosenentschädigungen erfassen und grundsätzlich die bisherige Praxis habe weiterführen wollen. Insofern sei von einem weiten Begriff der Dauerleistung auszugehen, der grundsätzlich jede periodisch zu erbringende Leistung erfasse (ATSG-Kommentar, N. 25 zu Art. 17, auch zum Folgenden; vgl. auch KIESER, Auswirkungen der sozialversicherungsrechtlichen Revision auf das Privatversicherungs- und Haftpflichtrecht, in: Schaffhauser/Kieser [Hrsg.], Invalidität im Wandel, St. Gallen 2005, S. 141). KIESER stützt sich hiebei auf eine Aussage im Bericht der vorberatenden Kommission des Nationalrates für soziale Sicherheit und Gesundheit (SGK NR) vom 26. März 1999 zur Parlamentarischen Initiative "Allgemeiner Teil des Sozialversicherungsrechts" (BBl 1999 S. 4523 ff., 4558). Darin wurde der Grossen Kammer beantragt, dem bereits am 25. September 1991 von der erstberatenden Kleinen Kammer gestützt auf den Bericht einer ständerätlichen Kommission vom 27. September 1990 beschlossenen Art. 23 (vorläufige Nummerierung des späteren Art. 17), welcher lediglich die Anpassung der Invalidenrente beinhaltet hatte (BBl 1991 II 185 ff., S. 192; Amtl. Bull. 1991 S 778), einen zweiten Absatz über die anderen Dauerleistungen hinzuzufügen. Dabei führte der Bericht der SGK NR vom 26. März 1999, wie von KIESER zutreffend zitiert, aus, es solle damit auch der in der Praxis geübte Grundsatz für die Revision "anderer Dauerleistungen", wie beispielsweise der Hilflosenentschädigung oder des Taggeldes , kodifiziert werden (BBl 1999 S. 4558). Der Nationalrat folgte dem Antrag seiner Kommission am 17. Juni 1999 diskussionslos (Amtl. Bull. 1999 N 1239). Demgegenüber äusserte sich der Sprecher der Kommission des Ständerates für soziale Sicherheit und Gesundheit bei der Beratung in der Kleinen Kammer vom 22. März 2000 BGE 133 V 57 S. 63 dahingehend, dass in dem vom Nationalrat hinzugefügten Abs. 2 des Art. 23 (später: Art. 17) "zusätzlich festgehalten wird, dass jede Dauerleistung - beispielsweise auch eine Hilflosenentschädigung - revidiert werden kann." Das Taggeld wurde mithin nicht erwähnt. Der Sprecher begründete dann den Antrag der ständerätlichen Kommission auf Zustimmung zum Beschluss des Nationalrates damit, dass die Verankerung dieser bereits dem heutigen Rechtszustand entsprechenden Regelung die gewünschte Klärung mit sich bringe. Der Ständerat stimmte diesem Antrag seinerseits ohne weitere Wortmeldungen zu (Amtl. Bull. 2000 S 178). In der so beschlossenen Form trat Art. 17 ATSG am 1. Januar 2003 in Kraft.</w:t>
      </w:r>
    </w:p>
    <w:p>
      <w:r>
        <w:rPr>
          <w:b/>
        </w:rPr>
        <w:t>E. 6.5.1</w:t>
      </w:r>
    </w:p>
    <w:p>
      <w:r>
        <w:t>Zusammenfassend findet sich somit lediglich eine isolierte Aussage in einem Kommissionsbericht, wonach Taggelder zu den Dauerleistungen zählen sollen. Dass dies dem vom Gesetzgeber gewollten Sinn der Norm entsprechen soll, ist damit nicht als gesichert zu betrachten, zumal sich hiefür weder im besagten Bericht noch in den weiteren Materialien eine Erläuterung findet (vgl. auch die Stellungnahmen des Bundesrates vom 17. April 1991 [BBl 1991 II 910], 17. August 1994 [BBl 1994 V 921] und 26. Mai 1999 [im Bundesblatt nicht veröffentlicht; siehe Amtl. Bull. 1999 N 1241 und 1244]). Gleiches gilt in Bezug auf die in den Gesetzesmaterialien überhaupt nicht erwähnte Heilbehandlung.</w:t>
      </w:r>
    </w:p>
    <w:p>
      <w:r>
        <w:rPr>
          <w:b/>
        </w:rPr>
        <w:t>E. 6.5.2</w:t>
      </w:r>
    </w:p>
    <w:p>
      <w:r>
        <w:t>Unmissverständlich ergibt sich aus den Materialien aber die Absicht des Gesetzgebers, mit der Regelung in Art. 17 ATSG den bisherigen Rechtszustand fortzuführen (vgl. auch BGE 130 V 343 ff., namentlich S. 349 ff. E. 3.5 und 3.6). Insoweit ist KIESER (und THOMAS LOCHER, Grundriss des Sozialversicherungsrechts, 3. Aufl., Bern 2003, S. 257 Rz. 15) beizupflichten. Es gilt daher zu prüfen, wie das Taggeld und die Heilbehandlung der Unfallversicherung - als hier einzig interessierende Sozialversicherungsleistungen - bis zur Einführung des ATSG rechtlich qualifiziert wurden.</w:t>
      </w:r>
    </w:p>
    <w:p>
      <w:r>
        <w:rPr>
          <w:b/>
        </w:rPr>
        <w:t>E. 6.6.1</w:t>
      </w:r>
    </w:p>
    <w:p>
      <w:r>
        <w:t>Als klassische Dauerleistungen gelten namentlich die auf unbestimmte Zeit zugesprochenen Invalidenrenten (für die Unfallversicherung: RKUV 2006 Nr. U 570 S. 80 E. 2.1 [Urteil vom 22. September 2005, U 357/04]; vgl. auch MAURER, Bundessozialversicherungsrecht, Basel 1993, S. 59; PETER OMLIN, Dauerrenten - Zeitrenten - Terminierte Renten, in: Schaffhauser/Schlauri BGE 133 V 57 S. 64 [Hrsg.], Die Revision von Dauerleistungen in der Sozialversicherung, St. Gallen 1999, S. 133; KIESER, Die Abänderung der formell rechtskräftigen Verfügung nach der Rechtsprechung des Eidgenössischen Versicherungsgerichts, in: SZS 1991 S. 137).</w:t>
      </w:r>
    </w:p>
    <w:p>
      <w:r>
        <w:rPr>
          <w:b/>
        </w:rPr>
        <w:t>E. 6.6.2</w:t>
      </w:r>
    </w:p>
    <w:p>
      <w:r>
        <w:t>Anders verhält es sich in Bezug auf die Heilbehandlung und das Taggeld der Unfallversicherung. Von Gesetzes wegen wird die Heilbehandlung (und das Taggeld) nur solange gewährt, als von der Fortsetzung der ärztlichen Behandlung noch eine namhafte Besserung des Gesundheitszustandes erwartet werden kann. Trifft dies nicht mehr zu, fallen die Heilbehandlung und die Taggeldleistungen dahin und die versicherte Person erhält, falls eine Erwerbsunfähigkeit vorliegt und diese die Mindestschwelle von 10 % erreicht, eine Invalidenrente (Art. 16 Abs. 2 Satz 2 und Art. 19 Abs. 1 in Verbindung mit Art. 18 Abs. 1 UVG in der seit 1. Juli 2001 geltenden, durch das am 1. Januar 2003 in Kraft getretene ATSG - soweit hier von Interesse - nicht geänderten Fassung [AS 2001 1491 f.]; zur Frage des für die Rentenberechtigung mindestens erforderlichen Invaliditätsgrades davor: BGE 122 V 335 ). In der Unfallversicherung sind Heilbehandlung und Taggeld somit klassische vorübergehende Leistungen. Hieran ändert der Umstand nichts, dass Heilbehandlung und Taggeldbezug gegebenenfalls mehrere Jahre andauern können, auf welchen Tatbestand Art. 15 Abs. 3 lit. a UVG und Art. 24 Abs. 2 UVV Bezug nehmen. Auch die Rechtsprechung ist, soweit ersichtlich, stets vom vorübergehenden Charakter der Heilbehandlung ausgegangen (RKUV 1992 Nr. U 142 S. 78; vgl. auch BGE 127 V 104 E. 5c und 105 E. 5e). Das gleiche Verständnis ergibt sich weitestgehend auch für das Taggeld der Unfallversicherung (RKUV 2004 Nr. U 501 S. 182 E. 2.4 [Urteil vom 1. Oktober 2003, U 301/02], 2002 Nr. U 451 S. 64 [in BGE 127 V 456 nicht veröffentlichte] E. 3c in fine [Urteil vom 10. Dezember 2001, U 427/99], 1995 Nr. U 232 S. 208 E. 3c, 1992 Nr. U 142 S. 78; gleicher Meinung: MAURER, a.a.O., S. 59, welcher für die Taggelder den Begriff Übergangsleistungen verwendet, und LOCHER, Grundriss des Sozialversicherungsrechts, 2. Aufl., Bern 1997, S. 5 f. Rz.17, S. 194 Rz. 24; 3. Aufl., Bern 2003, S. 52 Rz. 20, S. 246 Rz. 5, S. 287 Rz. 1). Eine abweichende Auffassung in Bezug auf das Taggeld der Unfallversicherung lässt sich einzig zumindest sinngemäss BGE 130 V 385 oben entnehmen. Dies wird im betreffenden Urteil aber nicht näher begründet. BGE 133 V 57 S. 65</w:t>
      </w:r>
    </w:p>
    <w:p>
      <w:r>
        <w:rPr>
          <w:b/>
        </w:rPr>
        <w:t>E. 6.7</w:t>
      </w:r>
    </w:p>
    <w:p>
      <w:r>
        <w:t>Gemäss dem nach dem Willen des Gesetzgebers ins ATSG überführten früheren Rechtszustand (E. 6.5.2 hievor) stellten Heilbehandlung und Taggeld der Unfallversicherung somit vorübergehende und nicht Dauerleistungen dar. Art. 17 Abs. 2 ATSG ist daher auf diese Leistungen nicht anwendbar, zumal auch keine Sonderregelung im Sinne von Art. 1 Abs. 1 UVG Entsprechendes vorsieht. Soweit die Vorinstanz unter Berufung auf KIESER eine andere Auffassung vertritt, kann ihr - jedenfalls für die Unfallversicherung - nicht gefolgt werden. Namentlich erhellt aus den bisherigen Erwägungen auch, dass die ins ATSG überführte Praxis zu Heilbehandlung und Taggeld der Unfallversicherung die Unterscheidung zwischen Dauer- und anderen Leistungen nicht von deren periodischen Erbringung abhängig macht, wie KIESER (ATSG-Kommentar, N. 25 zu Art. 17) anführt und auch LOCHER (zumindest a.a.O., 3. Aufl., S. 257 Rz. 16, anders hingegen offenbar S. 52 Rz. 20, S. 246 Rz. 5, S. 287 Rz. 1) anzunehmen scheint. Massgebend ist vielmehr, ob die Leistung vorübergehenden Charakter hat oder nicht.</w:t>
      </w:r>
    </w:p>
    <w:p>
      <w:r>
        <w:rPr>
          <w:b/>
        </w:rPr>
        <w:t>E. 6.8</w:t>
      </w:r>
    </w:p>
    <w:p>
      <w:r>
        <w:t>Zählen Heilbehandlung und Taggeld der Unfallversicherung nach dem Gesagten nicht zu den Dauerleistungen nach Art. 17 Abs. 2 ATSG , ist die am 2. Dezember 2003 verfügte und mit Einspracheentscheid vom 13. Mai 2004 bestätigte Einstellung dieser Leistungen nicht zu beanstanden. Soweit die Vorinstanz zur Stützung ihres gegenteiligen Standpunktes weiter anführt, der Unfallversicherer habe mit dem Erlass der Verfügung zu lange zugewartet, kann ihr ebenfalls nicht gefolgt werden. Einem verspäteten Verfügungserlass käme allenfalls unter dem Gesichtspunkt des Vertrauensschutzes Bedeutung zu, wenn es um die Frage einer Rückerstattung zu Unrecht bezogener Leistungen ginge. Dies ist hier nicht der Fall, sind doch über den 31. Juli resp. 7. August 2003 hinaus keine Heilbehandlungs- und Taggeldleistungen geflossen. Die Verwaltungsgerichtsbeschwerde der "Zürich" ist somit gutzuheissen, ohne dass zwei weitere von der Vorinstanz aufgeworfene Fragen abschliessend zu beantworten sind. Die erste Frage lautet, ob die Dauerleistungen nach Art. 17 Abs. 2 ATSG tatsächlich nur mit Wirkung für die Zukunft angepasst werden können, obwohl der Wortlaut der Bestimmung dies, anders als Art. 17 Abs. 1 ATSG für die Invalidenrente, nicht vorsieht. Das kantonale Gericht hat dies mit Hinweis auf KIESER (ATSG-Kommentar, N. 27 BGE 133 V 57 S. 66 zu Art. 17 mit Hinweis auf JÜRG MAESCHI, Kommentar zum Bundesgesetz über die Militärversicherung [MVG; SR 833.1] vom 19. Juni 1992, Bern 2000, N. 12 zu Art. 102; offenbar gleicher Meinung: LOCHER, a.a.O., 3. Aufl., S. 257 Rz. 17 in Verbindung mit S. 256 Rz. 10) bejaht. Eine andere Sichtweise geht aus dem - Ergänzungsleistungen betreffenden - Urteil vom 22. April 2005, P 51/04, E. 2, hervor. Die zweite Frage lautet, ob die Heilbehandlung als Sachleistung ( Art. 14 ATSG ) überhaupt unter die Dauerleistungen gemäss Art. 17 Abs. 2 ATSG fallen kann, findet sich doch letztere Bestimmung gesetzessystematisch im mit "Geldleistungen" überschriebenen 2. Abschnitt des 3. Kapitels des ATSG. Das kantonale Gericht bejaht dies ebenfalls unter Hinweis auf KIESER (ATSG-Kommentar, N. 2 und 24 zu Art. 17). Anderer Auffassung ist LOCHER (a.a.O., 3. Aufl., S. 257 Rz.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